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C9" w:rsidRDefault="002B23C9" w:rsidP="002B23C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3C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2B23C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2B23C9">
        <w:rPr>
          <w:rFonts w:ascii="Times New Roman" w:eastAsia="Times New Roman" w:hAnsi="Times New Roman" w:cs="Times New Roman"/>
          <w:sz w:val="28"/>
          <w:szCs w:val="28"/>
        </w:rPr>
        <w:t xml:space="preserve"> от 06.06.2019 N 137-ФЗ"О внесении изменений в статью 251 части второй Налогового кодекса Российской Федерации"</w:t>
      </w:r>
    </w:p>
    <w:p w:rsidR="002B23C9" w:rsidRPr="002B23C9" w:rsidRDefault="002B23C9" w:rsidP="002B23C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C9">
        <w:rPr>
          <w:rFonts w:ascii="Times New Roman" w:eastAsia="Times New Roman" w:hAnsi="Times New Roman" w:cs="Times New Roman"/>
          <w:sz w:val="28"/>
          <w:szCs w:val="28"/>
        </w:rPr>
        <w:t>Доходы в виде процентов, формирующие фонд капитального ремонта, не облагаются налогом на прибыль организаций. Указанные средства согласно части 3 статьи 179 ЖК РФ учитываются на отдельных счетах, открытых для формирования фондов капитального ремонта, и могут использоваться только на финансирование расходов на капитальный ремонт общего имущества многоквартирных домов.</w:t>
      </w:r>
    </w:p>
    <w:p w:rsidR="002B23C9" w:rsidRPr="002B23C9" w:rsidRDefault="002B23C9" w:rsidP="002B23C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C9">
        <w:rPr>
          <w:rFonts w:ascii="Times New Roman" w:eastAsia="Times New Roman" w:hAnsi="Times New Roman" w:cs="Times New Roman"/>
          <w:sz w:val="28"/>
          <w:szCs w:val="28"/>
        </w:rPr>
        <w:t>Учитывая целевой характер указанных средств, доходы в виде процентов, начисленных за пользование денежными средствами, а также доходы, полученные от размещения временно свободных средств фонда капитального ремонта, настоящим Законом отнесены к средствам целевого финансирования, не учитываемым при определении налоговой базы по налогу на прибыль организаций.</w:t>
      </w:r>
    </w:p>
    <w:p w:rsidR="002B23C9" w:rsidRPr="002B23C9" w:rsidRDefault="002B23C9" w:rsidP="002B23C9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C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вступит в силу с 01.01.2020. </w:t>
      </w:r>
    </w:p>
    <w:p w:rsidR="004E3905" w:rsidRPr="004E3905" w:rsidRDefault="004E3905" w:rsidP="004E3905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8E7" w:rsidRPr="00DA28E7" w:rsidRDefault="00DA28E7" w:rsidP="00DA28E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27" w:rsidRDefault="00724F27" w:rsidP="005E25CC">
      <w:pPr>
        <w:spacing w:after="0" w:line="240" w:lineRule="auto"/>
      </w:pPr>
      <w:r>
        <w:separator/>
      </w:r>
    </w:p>
  </w:endnote>
  <w:endnote w:type="continuationSeparator" w:id="1">
    <w:p w:rsidR="00724F27" w:rsidRDefault="00724F27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27" w:rsidRDefault="00724F27" w:rsidP="005E25CC">
      <w:pPr>
        <w:spacing w:after="0" w:line="240" w:lineRule="auto"/>
      </w:pPr>
      <w:r>
        <w:separator/>
      </w:r>
    </w:p>
  </w:footnote>
  <w:footnote w:type="continuationSeparator" w:id="1">
    <w:p w:rsidR="00724F27" w:rsidRDefault="00724F27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E074B"/>
    <w:rsid w:val="003E0DCE"/>
    <w:rsid w:val="003F6DF6"/>
    <w:rsid w:val="004E3905"/>
    <w:rsid w:val="00533F37"/>
    <w:rsid w:val="00535375"/>
    <w:rsid w:val="005C468B"/>
    <w:rsid w:val="005E25CC"/>
    <w:rsid w:val="006B536B"/>
    <w:rsid w:val="00724F27"/>
    <w:rsid w:val="00907C2F"/>
    <w:rsid w:val="009A0482"/>
    <w:rsid w:val="009B5194"/>
    <w:rsid w:val="00C26B29"/>
    <w:rsid w:val="00C56B82"/>
    <w:rsid w:val="00D70FCB"/>
    <w:rsid w:val="00D73EF9"/>
    <w:rsid w:val="00DA28E7"/>
    <w:rsid w:val="00F0788F"/>
    <w:rsid w:val="00F265D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D37DE0A9AB834E0207B99CA8BD4683C06C765D211D03CACBD9F14BDE6DEFD4CEED5D8D82F500D21B5D2A9FCsAU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2019-07-12T04:56:00Z</dcterms:created>
  <dcterms:modified xsi:type="dcterms:W3CDTF">2019-07-12T04:56:00Z</dcterms:modified>
</cp:coreProperties>
</file>