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36" w:rsidRPr="00D529F2" w:rsidRDefault="00B04D36" w:rsidP="0082578D">
      <w:pPr>
        <w:shd w:val="clear" w:color="auto" w:fill="FFFFFF"/>
        <w:jc w:val="center"/>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t>БАШ</w:t>
      </w:r>
      <w:r w:rsidRPr="00D529F2">
        <w:rPr>
          <w:rFonts w:ascii="Lucida Sans Unicode" w:hAnsi="Lucida Sans Unicode" w:cs="Lucida Sans Unicode"/>
          <w:b/>
          <w:bCs/>
          <w:noProof/>
          <w:color w:val="000000"/>
          <w:sz w:val="16"/>
          <w:szCs w:val="16"/>
        </w:rPr>
        <w:t>Ҡ</w:t>
      </w:r>
      <w:r w:rsidRPr="00D529F2">
        <w:rPr>
          <w:rFonts w:ascii="Times New Roman" w:hAnsi="Times New Roman" w:cs="Times New Roman"/>
          <w:b/>
          <w:bCs/>
          <w:noProof/>
          <w:color w:val="000000"/>
          <w:sz w:val="16"/>
          <w:szCs w:val="16"/>
        </w:rPr>
        <w:t>ОРТОСТАН РЕСПУБЛИКАҺЫ</w:t>
      </w:r>
    </w:p>
    <w:p w:rsidR="00B04D36" w:rsidRPr="00D529F2" w:rsidRDefault="00B04D36" w:rsidP="0082578D">
      <w:pPr>
        <w:shd w:val="clear" w:color="auto" w:fill="FFFFFF"/>
        <w:spacing w:before="240"/>
        <w:jc w:val="center"/>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t>ҒАФУРИ РАЙОНЫ</w:t>
      </w:r>
      <w:r w:rsidR="00641E55">
        <w:rPr>
          <w:noProof/>
          <w:sz w:val="16"/>
          <w:szCs w:val="16"/>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79475" cy="1186815"/>
            <wp:effectExtent l="19050" t="0" r="0" b="0"/>
            <wp:wrapSquare wrapText="bothSides"/>
            <wp:docPr id="2" name="Рисунок 1" descr="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6184776-07-72"/>
                    <pic:cNvPicPr>
                      <a:picLocks noChangeAspect="1" noChangeArrowheads="1"/>
                    </pic:cNvPicPr>
                  </pic:nvPicPr>
                  <pic:blipFill>
                    <a:blip r:embed="rId9"/>
                    <a:srcRect/>
                    <a:stretch>
                      <a:fillRect/>
                    </a:stretch>
                  </pic:blipFill>
                  <pic:spPr bwMode="auto">
                    <a:xfrm>
                      <a:off x="0" y="0"/>
                      <a:ext cx="879475" cy="1186815"/>
                    </a:xfrm>
                    <a:prstGeom prst="rect">
                      <a:avLst/>
                    </a:prstGeom>
                    <a:noFill/>
                  </pic:spPr>
                </pic:pic>
              </a:graphicData>
            </a:graphic>
          </wp:anchor>
        </w:drawing>
      </w:r>
    </w:p>
    <w:p w:rsidR="00B04D36" w:rsidRPr="00D529F2" w:rsidRDefault="00E81F96" w:rsidP="00E81F96">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МУНИЦИПАЛЬ</w:t>
      </w:r>
    </w:p>
    <w:p w:rsidR="00B04D36" w:rsidRPr="00D529F2" w:rsidRDefault="00E81F96" w:rsidP="00E81F96">
      <w:pPr>
        <w:shd w:val="clear" w:color="auto" w:fill="FFFFFF"/>
        <w:spacing w:before="10"/>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РАЙОНЫНЫҢ</w:t>
      </w:r>
    </w:p>
    <w:p w:rsidR="00B04D36" w:rsidRPr="00D529F2" w:rsidRDefault="00E81F96" w:rsidP="00E81F96">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Е</w:t>
      </w:r>
      <w:r w:rsidR="00B04D36" w:rsidRPr="00D529F2">
        <w:rPr>
          <w:rFonts w:ascii="Lucida Sans Unicode" w:hAnsi="Lucida Sans Unicode" w:cs="Lucida Sans Unicode"/>
          <w:b/>
          <w:bCs/>
          <w:noProof/>
          <w:color w:val="000000"/>
          <w:sz w:val="16"/>
          <w:szCs w:val="16"/>
        </w:rPr>
        <w:t>Ҙ</w:t>
      </w:r>
      <w:r w:rsidR="00B04D36" w:rsidRPr="00D529F2">
        <w:rPr>
          <w:rFonts w:ascii="Times New Roman" w:hAnsi="Times New Roman" w:cs="Times New Roman"/>
          <w:b/>
          <w:bCs/>
          <w:noProof/>
          <w:color w:val="000000"/>
          <w:sz w:val="16"/>
          <w:szCs w:val="16"/>
        </w:rPr>
        <w:t>ЕМ-</w:t>
      </w:r>
      <w:r w:rsidR="00B04D36" w:rsidRPr="00D529F2">
        <w:rPr>
          <w:rFonts w:ascii="Lucida Sans Unicode" w:hAnsi="Lucida Sans Unicode" w:cs="Lucida Sans Unicode"/>
          <w:b/>
          <w:bCs/>
          <w:noProof/>
          <w:color w:val="000000"/>
          <w:sz w:val="16"/>
          <w:szCs w:val="16"/>
        </w:rPr>
        <w:t>Ҡ</w:t>
      </w:r>
      <w:r w:rsidR="00B04D36" w:rsidRPr="00D529F2">
        <w:rPr>
          <w:rFonts w:ascii="Times New Roman" w:hAnsi="Times New Roman" w:cs="Times New Roman"/>
          <w:b/>
          <w:bCs/>
          <w:noProof/>
          <w:color w:val="000000"/>
          <w:sz w:val="16"/>
          <w:szCs w:val="16"/>
        </w:rPr>
        <w:t>АРАН</w:t>
      </w:r>
    </w:p>
    <w:p w:rsidR="00B04D36" w:rsidRPr="00D529F2" w:rsidRDefault="00E81F96" w:rsidP="00E81F96">
      <w:pPr>
        <w:shd w:val="clear" w:color="auto" w:fill="FFFFFF"/>
        <w:spacing w:before="10"/>
        <w:ind w:left="437"/>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АУЫЛ СОВЕТЫ</w:t>
      </w:r>
    </w:p>
    <w:p w:rsidR="00B04D36" w:rsidRPr="00E81F96" w:rsidRDefault="00B04D36" w:rsidP="0082578D">
      <w:pPr>
        <w:shd w:val="clear" w:color="auto" w:fill="FFFFFF"/>
        <w:ind w:right="-6379"/>
        <w:outlineLvl w:val="0"/>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 xml:space="preserve">        </w:t>
      </w:r>
      <w:r w:rsidR="00D529F2">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АУЫЛ БИЛӘМӘҺЕ  СОВЕТЫ</w:t>
      </w:r>
    </w:p>
    <w:p w:rsidR="00B04D36" w:rsidRPr="00D529F2" w:rsidRDefault="00B04D36" w:rsidP="0082578D">
      <w:pPr>
        <w:shd w:val="clear" w:color="auto" w:fill="FFFFFF"/>
        <w:ind w:right="-6379"/>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lastRenderedPageBreak/>
        <w:t xml:space="preserve">                                </w:t>
      </w:r>
      <w:r w:rsidR="00D529F2">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СОВЕТ</w:t>
      </w:r>
    </w:p>
    <w:p w:rsidR="00B04D36" w:rsidRPr="00D529F2" w:rsidRDefault="00B04D36" w:rsidP="0082578D">
      <w:pPr>
        <w:shd w:val="clear" w:color="auto" w:fill="FFFFFF"/>
        <w:spacing w:before="250"/>
        <w:jc w:val="center"/>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 xml:space="preserve">СЕЛЬСКОГО ПОСЕЛЕНИЯ </w:t>
      </w:r>
    </w:p>
    <w:p w:rsidR="00B04D36" w:rsidRPr="00D529F2" w:rsidRDefault="00B04D36" w:rsidP="0082578D">
      <w:pPr>
        <w:shd w:val="clear" w:color="auto" w:fill="FFFFFF"/>
        <w:spacing w:before="250"/>
        <w:jc w:val="center"/>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ЗИЛИМ-КАРАНОВСКИЙ</w:t>
      </w:r>
    </w:p>
    <w:p w:rsidR="00B04D36" w:rsidRPr="00D529F2" w:rsidRDefault="00D529F2" w:rsidP="0082578D">
      <w:pPr>
        <w:shd w:val="clear" w:color="auto" w:fill="FFFFFF"/>
        <w:ind w:left="1267"/>
        <w:outlineLvl w:val="0"/>
        <w:rPr>
          <w:rFonts w:ascii="Times New Roman" w:hAnsi="Times New Roman" w:cs="Times New Roman"/>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СЕЛЬСОВЕТ</w:t>
      </w:r>
    </w:p>
    <w:p w:rsidR="00B04D36" w:rsidRPr="00D529F2" w:rsidRDefault="00B04D36" w:rsidP="0082578D">
      <w:pPr>
        <w:shd w:val="clear" w:color="auto" w:fill="FFFFFF"/>
        <w:spacing w:before="5"/>
        <w:ind w:left="466" w:hanging="466"/>
        <w:rPr>
          <w:rFonts w:ascii="Times New Roman" w:hAnsi="Times New Roman" w:cs="Times New Roman"/>
          <w:color w:val="000000"/>
          <w:sz w:val="16"/>
          <w:szCs w:val="16"/>
        </w:rPr>
      </w:pPr>
      <w:r w:rsidRPr="00D529F2">
        <w:rPr>
          <w:rFonts w:ascii="Times New Roman" w:hAnsi="Times New Roman" w:cs="Times New Roman"/>
          <w:b/>
          <w:bCs/>
          <w:color w:val="000000"/>
          <w:sz w:val="16"/>
          <w:szCs w:val="16"/>
        </w:rPr>
        <w:t xml:space="preserve">    </w:t>
      </w:r>
      <w:r w:rsidR="00D529F2">
        <w:rPr>
          <w:rFonts w:ascii="Times New Roman" w:hAnsi="Times New Roman" w:cs="Times New Roman"/>
          <w:b/>
          <w:bCs/>
          <w:color w:val="000000"/>
          <w:sz w:val="16"/>
          <w:szCs w:val="16"/>
        </w:rPr>
        <w:t xml:space="preserve">                </w:t>
      </w:r>
      <w:r w:rsidRPr="00D529F2">
        <w:rPr>
          <w:rFonts w:ascii="Times New Roman" w:hAnsi="Times New Roman" w:cs="Times New Roman"/>
          <w:b/>
          <w:bCs/>
          <w:color w:val="000000"/>
          <w:sz w:val="16"/>
          <w:szCs w:val="16"/>
        </w:rPr>
        <w:t xml:space="preserve"> МУНИЦИПАЛЬНОГО РАЙОНА</w:t>
      </w:r>
    </w:p>
    <w:p w:rsidR="00B04D36" w:rsidRPr="00D529F2" w:rsidRDefault="00B04D36" w:rsidP="0082578D">
      <w:pPr>
        <w:shd w:val="clear" w:color="auto" w:fill="FFFFFF"/>
        <w:spacing w:before="5"/>
        <w:ind w:left="466" w:hanging="466"/>
        <w:jc w:val="center"/>
        <w:outlineLvl w:val="0"/>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ГАФУРИЙСКИЙ РАЙОН</w:t>
      </w:r>
    </w:p>
    <w:p w:rsidR="00B04D36" w:rsidRPr="00E81F96" w:rsidRDefault="00B04D36" w:rsidP="00E81F96">
      <w:pPr>
        <w:shd w:val="clear" w:color="auto" w:fill="FFFFFF"/>
        <w:rPr>
          <w:rFonts w:ascii="Times New Roman" w:hAnsi="Times New Roman" w:cs="Times New Roman"/>
          <w:b/>
          <w:bCs/>
          <w:sz w:val="16"/>
          <w:szCs w:val="16"/>
        </w:rPr>
        <w:sectPr w:rsidR="00B04D36" w:rsidRPr="00E81F96" w:rsidSect="0082578D">
          <w:footerReference w:type="default" r:id="rId10"/>
          <w:pgSz w:w="11909" w:h="16834"/>
          <w:pgMar w:top="709" w:right="994" w:bottom="720" w:left="826" w:header="720" w:footer="720" w:gutter="0"/>
          <w:cols w:num="2" w:space="720" w:equalWidth="0">
            <w:col w:w="3686" w:space="2107"/>
            <w:col w:w="4296"/>
          </w:cols>
          <w:noEndnote/>
          <w:titlePg/>
          <w:docGrid w:linePitch="272"/>
        </w:sectPr>
      </w:pPr>
      <w:r w:rsidRPr="00D529F2">
        <w:rPr>
          <w:rFonts w:ascii="Times New Roman" w:hAnsi="Times New Roman" w:cs="Times New Roman"/>
          <w:b/>
          <w:bCs/>
          <w:sz w:val="16"/>
          <w:szCs w:val="16"/>
        </w:rPr>
        <w:t xml:space="preserve">     </w:t>
      </w:r>
      <w:r w:rsidR="00D529F2">
        <w:rPr>
          <w:rFonts w:ascii="Times New Roman" w:hAnsi="Times New Roman" w:cs="Times New Roman"/>
          <w:b/>
          <w:bCs/>
          <w:sz w:val="16"/>
          <w:szCs w:val="16"/>
        </w:rPr>
        <w:t xml:space="preserve">              </w:t>
      </w:r>
      <w:r w:rsidRPr="00D529F2">
        <w:rPr>
          <w:rFonts w:ascii="Times New Roman" w:hAnsi="Times New Roman" w:cs="Times New Roman"/>
          <w:b/>
          <w:bCs/>
          <w:sz w:val="16"/>
          <w:szCs w:val="16"/>
        </w:rPr>
        <w:t xml:space="preserve">   РЕСПУБЛИКИ  БАШКОРТОСТАН</w:t>
      </w: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546"/>
      </w:tblGrid>
      <w:tr w:rsidR="00B04D36" w:rsidRPr="008B15CE" w:rsidTr="00E81F96">
        <w:trPr>
          <w:trHeight w:val="9"/>
        </w:trPr>
        <w:tc>
          <w:tcPr>
            <w:tcW w:w="9546" w:type="dxa"/>
            <w:tcBorders>
              <w:left w:val="nil"/>
              <w:bottom w:val="nil"/>
              <w:right w:val="nil"/>
            </w:tcBorders>
          </w:tcPr>
          <w:p w:rsidR="00B04D36" w:rsidRPr="008B15CE" w:rsidRDefault="00B04D36" w:rsidP="00E81F96">
            <w:pPr>
              <w:shd w:val="clear" w:color="auto" w:fill="FFFFFF"/>
              <w:rPr>
                <w:rFonts w:ascii="Times New Roman" w:hAnsi="Times New Roman" w:cs="Times New Roman"/>
              </w:rPr>
            </w:pPr>
          </w:p>
        </w:tc>
      </w:tr>
    </w:tbl>
    <w:p w:rsidR="00695CE5" w:rsidRDefault="0065761E" w:rsidP="00695CE5">
      <w:pPr>
        <w:shd w:val="clear" w:color="auto" w:fill="FFFFFF"/>
        <w:spacing w:after="0" w:line="240" w:lineRule="auto"/>
        <w:ind w:left="540"/>
        <w:jc w:val="center"/>
        <w:rPr>
          <w:rFonts w:ascii="Helvetica" w:eastAsia="Times New Roman" w:hAnsi="Helvetica" w:cs="Helvetica"/>
          <w:b/>
          <w:color w:val="333333"/>
          <w:sz w:val="20"/>
          <w:szCs w:val="20"/>
          <w:lang w:eastAsia="ru-RU"/>
        </w:rPr>
      </w:pPr>
      <w:r w:rsidRPr="0065761E">
        <w:rPr>
          <w:rFonts w:ascii="Helvetica" w:eastAsia="Times New Roman" w:hAnsi="Helvetica" w:cs="Helvetica"/>
          <w:b/>
          <w:color w:val="333333"/>
          <w:sz w:val="20"/>
          <w:szCs w:val="20"/>
          <w:lang w:eastAsia="ru-RU"/>
        </w:rPr>
        <w:t>Р Е Ш Е Н И Е</w:t>
      </w:r>
    </w:p>
    <w:p w:rsidR="0065761E" w:rsidRPr="0065761E" w:rsidRDefault="0065761E" w:rsidP="00695CE5">
      <w:pPr>
        <w:shd w:val="clear" w:color="auto" w:fill="FFFFFF"/>
        <w:spacing w:after="0" w:line="240" w:lineRule="auto"/>
        <w:ind w:left="540"/>
        <w:jc w:val="center"/>
        <w:rPr>
          <w:rFonts w:ascii="Helvetica" w:eastAsia="Times New Roman" w:hAnsi="Helvetica" w:cs="Helvetica"/>
          <w:b/>
          <w:color w:val="333333"/>
          <w:sz w:val="20"/>
          <w:szCs w:val="20"/>
          <w:lang w:eastAsia="ru-RU"/>
        </w:rPr>
      </w:pPr>
    </w:p>
    <w:p w:rsidR="0065761E" w:rsidRP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b/>
          <w:sz w:val="24"/>
          <w:szCs w:val="24"/>
        </w:rPr>
        <w:t>«Об</w:t>
      </w:r>
      <w:r w:rsidRPr="0065761E">
        <w:rPr>
          <w:rFonts w:ascii="Times New Roman" w:hAnsi="Times New Roman" w:cs="Times New Roman"/>
          <w:b/>
          <w:sz w:val="24"/>
          <w:szCs w:val="24"/>
        </w:rPr>
        <w:t xml:space="preserve"> утверждении Правила содержания, выпаса и прогона сельскохозяйственных животных в сельском</w:t>
      </w:r>
      <w:r>
        <w:rPr>
          <w:rFonts w:ascii="Times New Roman" w:hAnsi="Times New Roman" w:cs="Times New Roman"/>
          <w:b/>
          <w:sz w:val="24"/>
          <w:szCs w:val="24"/>
        </w:rPr>
        <w:t xml:space="preserve"> поселении Зилим-Карановский сельсовет муниципального </w:t>
      </w:r>
      <w:r w:rsidRPr="0065761E">
        <w:rPr>
          <w:rFonts w:ascii="Times New Roman" w:hAnsi="Times New Roman" w:cs="Times New Roman"/>
          <w:b/>
          <w:sz w:val="24"/>
          <w:szCs w:val="24"/>
        </w:rPr>
        <w:t xml:space="preserve"> район</w:t>
      </w:r>
      <w:r>
        <w:rPr>
          <w:rFonts w:ascii="Times New Roman" w:hAnsi="Times New Roman" w:cs="Times New Roman"/>
          <w:b/>
          <w:sz w:val="24"/>
          <w:szCs w:val="24"/>
        </w:rPr>
        <w:t xml:space="preserve">а Гафурийский район </w:t>
      </w:r>
      <w:r w:rsidRPr="0065761E">
        <w:rPr>
          <w:rFonts w:ascii="Times New Roman" w:hAnsi="Times New Roman" w:cs="Times New Roman"/>
          <w:b/>
          <w:sz w:val="24"/>
          <w:szCs w:val="24"/>
        </w:rPr>
        <w:t xml:space="preserve"> Республики Башкортостан</w:t>
      </w:r>
      <w:r w:rsidRPr="0065761E">
        <w:rPr>
          <w:rFonts w:ascii="Times New Roman" w:hAnsi="Times New Roman" w:cs="Times New Roman"/>
          <w:b/>
          <w:sz w:val="24"/>
          <w:szCs w:val="24"/>
        </w:rPr>
        <w:t>»</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27.05.1994 № ВС-22/43 «О 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 Устав</w:t>
      </w:r>
      <w:r>
        <w:rPr>
          <w:rFonts w:ascii="Times New Roman" w:hAnsi="Times New Roman" w:cs="Times New Roman"/>
          <w:sz w:val="24"/>
          <w:szCs w:val="24"/>
        </w:rPr>
        <w:t xml:space="preserve">а сельского поселения Зилим-Карановский </w:t>
      </w:r>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Гафурийский </w:t>
      </w:r>
      <w:r w:rsidRPr="0065761E">
        <w:rPr>
          <w:rFonts w:ascii="Times New Roman" w:hAnsi="Times New Roman" w:cs="Times New Roman"/>
          <w:sz w:val="24"/>
          <w:szCs w:val="24"/>
        </w:rPr>
        <w:t xml:space="preserve"> район Республики Башкортостан, и в целях упорядочения содержания, выпаса и прогона сельскохозяйственных животных</w:t>
      </w:r>
      <w:r>
        <w:rPr>
          <w:rFonts w:ascii="Times New Roman" w:hAnsi="Times New Roman" w:cs="Times New Roman"/>
          <w:sz w:val="24"/>
          <w:szCs w:val="24"/>
        </w:rPr>
        <w:t xml:space="preserve"> в сельском поселении Зилим-Карановский </w:t>
      </w:r>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Гафурийский </w:t>
      </w:r>
      <w:r w:rsidRPr="0065761E">
        <w:rPr>
          <w:rFonts w:ascii="Times New Roman" w:hAnsi="Times New Roman" w:cs="Times New Roman"/>
          <w:sz w:val="24"/>
          <w:szCs w:val="24"/>
        </w:rPr>
        <w:t xml:space="preserve"> район Республики Башкортостан,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w:t>
      </w:r>
      <w:r>
        <w:rPr>
          <w:rFonts w:ascii="Times New Roman" w:hAnsi="Times New Roman" w:cs="Times New Roman"/>
          <w:sz w:val="24"/>
          <w:szCs w:val="24"/>
        </w:rPr>
        <w:t xml:space="preserve">т сельского поселения Зилим-карановский </w:t>
      </w:r>
      <w:r w:rsidRPr="0065761E">
        <w:rPr>
          <w:rFonts w:ascii="Times New Roman" w:hAnsi="Times New Roman" w:cs="Times New Roman"/>
          <w:sz w:val="24"/>
          <w:szCs w:val="24"/>
        </w:rPr>
        <w:t xml:space="preserve"> сельсовет решил</w:t>
      </w:r>
      <w:r>
        <w:rPr>
          <w:rFonts w:ascii="Times New Roman" w:hAnsi="Times New Roman" w:cs="Times New Roman"/>
          <w:sz w:val="24"/>
          <w:szCs w:val="24"/>
        </w:rPr>
        <w:t>:</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1. Утвердить в новой редакции положение «Об утверждении Правила содержания, выпаса и прогона сельскохозяйственных животных</w:t>
      </w:r>
      <w:r>
        <w:rPr>
          <w:rFonts w:ascii="Times New Roman" w:hAnsi="Times New Roman" w:cs="Times New Roman"/>
          <w:sz w:val="24"/>
          <w:szCs w:val="24"/>
        </w:rPr>
        <w:t xml:space="preserve"> в сельском поселении Зилим-Карановский </w:t>
      </w:r>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Гафурийский </w:t>
      </w:r>
      <w:r w:rsidRPr="0065761E">
        <w:rPr>
          <w:rFonts w:ascii="Times New Roman" w:hAnsi="Times New Roman" w:cs="Times New Roman"/>
          <w:sz w:val="24"/>
          <w:szCs w:val="24"/>
        </w:rPr>
        <w:t xml:space="preserve"> район Республики Башкортостан» (Приложение № 1); </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2. Настоящее решение обнародовать в установленном порядке и разместить в сети «Интернет» на официальном сайт</w:t>
      </w:r>
      <w:r>
        <w:rPr>
          <w:rFonts w:ascii="Times New Roman" w:hAnsi="Times New Roman" w:cs="Times New Roman"/>
          <w:sz w:val="24"/>
          <w:szCs w:val="24"/>
        </w:rPr>
        <w:t xml:space="preserve">е сельского поселения Зилим-Карановский </w:t>
      </w:r>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Гафурийский </w:t>
      </w:r>
      <w:r w:rsidRPr="0065761E">
        <w:rPr>
          <w:rFonts w:ascii="Times New Roman" w:hAnsi="Times New Roman" w:cs="Times New Roman"/>
          <w:sz w:val="24"/>
          <w:szCs w:val="24"/>
        </w:rPr>
        <w:t xml:space="preserve"> район Республики Башкортостан.</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3. Настоящее решение вступает в силу со дня обнародования. </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4. Контроль за исполнением данного решения возложить на постоянную комиссию Совет</w:t>
      </w:r>
      <w:r>
        <w:rPr>
          <w:rFonts w:ascii="Times New Roman" w:hAnsi="Times New Roman" w:cs="Times New Roman"/>
          <w:sz w:val="24"/>
          <w:szCs w:val="24"/>
        </w:rPr>
        <w:t xml:space="preserve">а по </w:t>
      </w:r>
      <w:r w:rsidRPr="0065761E">
        <w:rPr>
          <w:rFonts w:ascii="Times New Roman" w:hAnsi="Times New Roman" w:cs="Times New Roman"/>
          <w:sz w:val="24"/>
          <w:szCs w:val="24"/>
        </w:rPr>
        <w:t xml:space="preserve">благоустройству и экологии. </w:t>
      </w:r>
    </w:p>
    <w:p w:rsidR="0065761E" w:rsidRDefault="00633458" w:rsidP="00695CE5">
      <w:pPr>
        <w:shd w:val="clear" w:color="auto" w:fill="FFFFFF"/>
        <w:spacing w:after="135" w:line="240" w:lineRule="auto"/>
        <w:ind w:left="540"/>
        <w:jc w:val="both"/>
        <w:rPr>
          <w:rFonts w:ascii="Times New Roman" w:hAnsi="Times New Roman" w:cs="Times New Roman"/>
          <w:sz w:val="24"/>
          <w:szCs w:val="24"/>
        </w:rPr>
      </w:pPr>
      <w:r>
        <w:rPr>
          <w:rFonts w:ascii="Times New Roman" w:hAnsi="Times New Roman" w:cs="Times New Roman"/>
          <w:sz w:val="24"/>
          <w:szCs w:val="24"/>
        </w:rPr>
        <w:t>17.04.2019 г № 155-264з</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Хасанова Н.М.</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p>
    <w:p w:rsidR="00633458" w:rsidRDefault="0065761E" w:rsidP="00633458">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Приложение №1 к решению Совет</w:t>
      </w:r>
      <w:r>
        <w:rPr>
          <w:rFonts w:ascii="Times New Roman" w:hAnsi="Times New Roman" w:cs="Times New Roman"/>
          <w:sz w:val="24"/>
          <w:szCs w:val="24"/>
        </w:rPr>
        <w:t xml:space="preserve">а сельского поселения Зилим-Карановский </w:t>
      </w:r>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Гафурийский </w:t>
      </w:r>
      <w:r w:rsidRPr="0065761E">
        <w:rPr>
          <w:rFonts w:ascii="Times New Roman" w:hAnsi="Times New Roman" w:cs="Times New Roman"/>
          <w:sz w:val="24"/>
          <w:szCs w:val="24"/>
        </w:rPr>
        <w:t xml:space="preserve"> </w:t>
      </w:r>
      <w:r w:rsidR="00633458">
        <w:rPr>
          <w:rFonts w:ascii="Times New Roman" w:hAnsi="Times New Roman" w:cs="Times New Roman"/>
          <w:sz w:val="24"/>
          <w:szCs w:val="24"/>
        </w:rPr>
        <w:t xml:space="preserve">район Республики Башкортостан </w:t>
      </w:r>
      <w:r w:rsidR="00633458">
        <w:rPr>
          <w:rFonts w:ascii="Times New Roman" w:hAnsi="Times New Roman" w:cs="Times New Roman"/>
          <w:sz w:val="24"/>
          <w:szCs w:val="24"/>
        </w:rPr>
        <w:t>17.04.2019 г № 155-264з</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Правила содержания, выпаса и прогона сельскохозяйственных животных</w:t>
      </w:r>
      <w:r w:rsidR="00633458">
        <w:rPr>
          <w:rFonts w:ascii="Times New Roman" w:hAnsi="Times New Roman" w:cs="Times New Roman"/>
          <w:sz w:val="24"/>
          <w:szCs w:val="24"/>
        </w:rPr>
        <w:t xml:space="preserve"> в сельском поселении Зилим-Карановский </w:t>
      </w:r>
      <w:r w:rsidRPr="0065761E">
        <w:rPr>
          <w:rFonts w:ascii="Times New Roman" w:hAnsi="Times New Roman" w:cs="Times New Roman"/>
          <w:sz w:val="24"/>
          <w:szCs w:val="24"/>
        </w:rPr>
        <w:t xml:space="preserve"> сельсовет </w:t>
      </w:r>
      <w:r w:rsidR="00633458">
        <w:rPr>
          <w:rFonts w:ascii="Times New Roman" w:hAnsi="Times New Roman" w:cs="Times New Roman"/>
          <w:sz w:val="24"/>
          <w:szCs w:val="24"/>
        </w:rPr>
        <w:t xml:space="preserve">муниципального района Гафурийский </w:t>
      </w:r>
      <w:r w:rsidRPr="0065761E">
        <w:rPr>
          <w:rFonts w:ascii="Times New Roman" w:hAnsi="Times New Roman" w:cs="Times New Roman"/>
          <w:sz w:val="24"/>
          <w:szCs w:val="24"/>
        </w:rPr>
        <w:t xml:space="preserve"> район Республики Башкортостан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1. Общие положения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1.1. Настоящие Правила обязательны для исполнения юридическими лицами и гражданами, содержащими сельскохозяйственных животных.</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1.2. В настоящих Правилах применяются следующие понятия: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5) стадо - организованная для вывода на пастбище группа сельскохозяйственных животных: крупнорогатого скота, мелкорогатого скота, лошадей;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6) 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1.3. Целью настоящих Правил является упорядочение содержания, выпаса, прогона сельскохозяйственных животных</w:t>
      </w:r>
      <w:r w:rsidR="00633458">
        <w:rPr>
          <w:rFonts w:ascii="Times New Roman" w:hAnsi="Times New Roman" w:cs="Times New Roman"/>
          <w:sz w:val="24"/>
          <w:szCs w:val="24"/>
        </w:rPr>
        <w:t xml:space="preserve"> в сельском поселении Зилим-Карановский </w:t>
      </w:r>
      <w:r w:rsidRPr="0065761E">
        <w:rPr>
          <w:rFonts w:ascii="Times New Roman" w:hAnsi="Times New Roman" w:cs="Times New Roman"/>
          <w:sz w:val="24"/>
          <w:szCs w:val="24"/>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lastRenderedPageBreak/>
        <w:t xml:space="preserve">2. Содержание животных.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2.2. Ответственность за здоровье, содержание и использование животных несут их владельцы. Владельцы животных обязаны: -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 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 - до прибытия специалистов в области ветеринарии принять меры по изоляции животных, подозреваемых в заболевании; - проводить регистрацию и перерегистрацию сельскохозяйственных животных за свой счет (биркование, клеймование и пт.д.); - соблюдать установленные ветеринарно-санитарные правила перевозки и убоя животных, переработки, хранения и реализации продуктов животноводства; -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 Запрещается сброс биологических отходов в водоемы, реки и болота так же в бытовые мусорные контейнеры и вывоз их на свалки и полигоны для захоронения.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3. Прогон и выпас животных</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w:t>
      </w:r>
      <w:r w:rsidRPr="0065761E">
        <w:rPr>
          <w:rFonts w:ascii="Times New Roman" w:hAnsi="Times New Roman" w:cs="Times New Roman"/>
          <w:sz w:val="24"/>
          <w:szCs w:val="24"/>
        </w:rPr>
        <w:lastRenderedPageBreak/>
        <w:t>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3.2. Запрещается выпускать в стадо: - больных животных, в том числе зараженных заразными болезнями; - маточное поголовье перед отелом, родами также неокрепших после отела, родов, неокрепший новорожденный молодняк; - животных, не прошедшие обязательные ветеринарные процедуры, в том числе прививки и вакцинации;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3.3. Пастух отвечает за: - соблюдение очередности выпаса; - своевременный сбор и прогон стада; - выбор безопасного маршрута прогона стада до пастбища; - выбор места выпаса стада (пастбища); маршрут прогона и пастбище должны соответствовать требованиям безопасности для животных; - выбор места водопоя; места для водопоя не должны иметь высоких берегов, обрывов, дно водоемов должно быть неглубокое; - 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3.4. Запрещается выпас стада: - около автомобильных дорог с интенсивным движением; - на болотистых, топких местах; - на крутых горных, каменистых склонах; - около водоемов, имеющих крутые обрывы; - около (на) земельных участков (участках), обработанных ядохимикатами, удобрениями; -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 в иных зонах при объявлении чрезвычайных ситуаций и особых режимов.</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w:t>
      </w:r>
      <w:r w:rsidRPr="0065761E">
        <w:rPr>
          <w:rFonts w:ascii="Times New Roman" w:hAnsi="Times New Roman" w:cs="Times New Roman"/>
          <w:sz w:val="24"/>
          <w:szCs w:val="24"/>
        </w:rPr>
        <w:lastRenderedPageBreak/>
        <w:t>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 - при нарушении условий настоящих правил владельцами животных, когда причиной причинения ущерба явилось данное нарушение; -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 при получении травмы животным вследствие неосторожного поведения самого животного, не зависящего от воли пастуха :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 при получении травмы животным вследствие перехода скрытых форм протекания болезней в активные формы.</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 Безнадзорные животные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4.2. Безнадзорные животные задерживаются и содержатся в местах, определенных решением главы сельского поселения.</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4.4. Содержание животных производится в соответствии с требованиями норм Гражданского кодекса Российской Федерации, ветеринарных, санитарных норм.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w:t>
      </w:r>
      <w:r w:rsidRPr="0065761E">
        <w:rPr>
          <w:rFonts w:ascii="Times New Roman" w:hAnsi="Times New Roman" w:cs="Times New Roman"/>
          <w:sz w:val="24"/>
          <w:szCs w:val="24"/>
        </w:rPr>
        <w:lastRenderedPageBreak/>
        <w:t>муниципальную собственность и используются в порядке, определяемом органом местного самоуправления.</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w:t>
      </w:r>
    </w:p>
    <w:p w:rsidR="0065761E" w:rsidRPr="0065761E" w:rsidRDefault="0065761E" w:rsidP="00695CE5">
      <w:pPr>
        <w:shd w:val="clear" w:color="auto" w:fill="FFFFFF"/>
        <w:spacing w:after="135" w:line="240" w:lineRule="auto"/>
        <w:ind w:left="540"/>
        <w:jc w:val="both"/>
        <w:rPr>
          <w:rFonts w:ascii="Times New Roman" w:eastAsia="Times New Roman" w:hAnsi="Times New Roman" w:cs="Times New Roman"/>
          <w:color w:val="333333"/>
          <w:sz w:val="24"/>
          <w:szCs w:val="24"/>
          <w:lang w:eastAsia="ru-RU"/>
        </w:rPr>
      </w:pPr>
      <w:bookmarkStart w:id="0" w:name="_GoBack"/>
      <w:bookmarkEnd w:id="0"/>
      <w:r w:rsidRPr="0065761E">
        <w:rPr>
          <w:rFonts w:ascii="Times New Roman" w:hAnsi="Times New Roman" w:cs="Times New Roman"/>
          <w:sz w:val="24"/>
          <w:szCs w:val="24"/>
        </w:rPr>
        <w:t xml:space="preserve"> 5. Возмещение вреда вследствие нарушения Правил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6. Ответственность за нарушение Правил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sectPr w:rsidR="0065761E" w:rsidRPr="0065761E" w:rsidSect="0082578D">
      <w:type w:val="continuous"/>
      <w:pgSz w:w="11909" w:h="16834" w:code="9"/>
      <w:pgMar w:top="28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C5" w:rsidRDefault="004547C5">
      <w:pPr>
        <w:spacing w:after="0" w:line="240" w:lineRule="auto"/>
      </w:pPr>
      <w:r>
        <w:separator/>
      </w:r>
    </w:p>
  </w:endnote>
  <w:endnote w:type="continuationSeparator" w:id="0">
    <w:p w:rsidR="004547C5" w:rsidRDefault="0045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Helver Bashkir">
    <w:altName w:val="Arial"/>
    <w:panose1 w:val="00000000000000000000"/>
    <w:charset w:val="00"/>
    <w:family w:val="swiss"/>
    <w:notTrueType/>
    <w:pitch w:val="default"/>
    <w:sig w:usb0="00001A87" w:usb1="00000000"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36" w:rsidRDefault="008C1205">
    <w:pPr>
      <w:pStyle w:val="a3"/>
      <w:jc w:val="right"/>
      <w:rPr>
        <w:rFonts w:cs="Times New Roman"/>
      </w:rPr>
    </w:pPr>
    <w:r>
      <w:fldChar w:fldCharType="begin"/>
    </w:r>
    <w:r>
      <w:instrText xml:space="preserve"> PAGE   \* MERGEFORMAT </w:instrText>
    </w:r>
    <w:r>
      <w:fldChar w:fldCharType="separate"/>
    </w:r>
    <w:r w:rsidR="00633458">
      <w:rPr>
        <w:noProof/>
      </w:rPr>
      <w:t>6</w:t>
    </w:r>
    <w:r>
      <w:rPr>
        <w:noProof/>
      </w:rPr>
      <w:fldChar w:fldCharType="end"/>
    </w:r>
  </w:p>
  <w:p w:rsidR="00B04D36" w:rsidRDefault="00B04D3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C5" w:rsidRDefault="004547C5">
      <w:pPr>
        <w:spacing w:after="0" w:line="240" w:lineRule="auto"/>
      </w:pPr>
      <w:r>
        <w:separator/>
      </w:r>
    </w:p>
  </w:footnote>
  <w:footnote w:type="continuationSeparator" w:id="0">
    <w:p w:rsidR="004547C5" w:rsidRDefault="00454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D"/>
    <w:rsid w:val="000514CC"/>
    <w:rsid w:val="000824D3"/>
    <w:rsid w:val="00097B3B"/>
    <w:rsid w:val="000D38D8"/>
    <w:rsid w:val="001757DA"/>
    <w:rsid w:val="001817DD"/>
    <w:rsid w:val="001E3696"/>
    <w:rsid w:val="004547C5"/>
    <w:rsid w:val="00487949"/>
    <w:rsid w:val="005308CB"/>
    <w:rsid w:val="005A4278"/>
    <w:rsid w:val="00633458"/>
    <w:rsid w:val="00641E55"/>
    <w:rsid w:val="00643684"/>
    <w:rsid w:val="0065761E"/>
    <w:rsid w:val="00695CE5"/>
    <w:rsid w:val="006C0310"/>
    <w:rsid w:val="00721316"/>
    <w:rsid w:val="00721704"/>
    <w:rsid w:val="00812342"/>
    <w:rsid w:val="0082578D"/>
    <w:rsid w:val="0084125A"/>
    <w:rsid w:val="008B15CE"/>
    <w:rsid w:val="008C1205"/>
    <w:rsid w:val="00973862"/>
    <w:rsid w:val="009C5596"/>
    <w:rsid w:val="00A27E20"/>
    <w:rsid w:val="00A542B4"/>
    <w:rsid w:val="00A6462F"/>
    <w:rsid w:val="00AC65A6"/>
    <w:rsid w:val="00B04D36"/>
    <w:rsid w:val="00B21476"/>
    <w:rsid w:val="00B2565E"/>
    <w:rsid w:val="00B82BBB"/>
    <w:rsid w:val="00BE2832"/>
    <w:rsid w:val="00C17766"/>
    <w:rsid w:val="00C51065"/>
    <w:rsid w:val="00CC4547"/>
    <w:rsid w:val="00CE36EA"/>
    <w:rsid w:val="00D529F2"/>
    <w:rsid w:val="00DA6B0C"/>
    <w:rsid w:val="00E81F96"/>
    <w:rsid w:val="00EC689F"/>
    <w:rsid w:val="00EF1672"/>
    <w:rsid w:val="00F01F9B"/>
    <w:rsid w:val="00F24270"/>
    <w:rsid w:val="00FB1935"/>
    <w:rsid w:val="00FC5B54"/>
    <w:rsid w:val="00FC6585"/>
    <w:rsid w:val="00FD09E6"/>
    <w:rsid w:val="00FE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02614-FC29-4D40-8CAB-B44C239B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Zilim</cp:lastModifiedBy>
  <cp:revision>2</cp:revision>
  <cp:lastPrinted>2017-09-25T08:33:00Z</cp:lastPrinted>
  <dcterms:created xsi:type="dcterms:W3CDTF">2019-04-18T08:45:00Z</dcterms:created>
  <dcterms:modified xsi:type="dcterms:W3CDTF">2019-04-18T08:45:00Z</dcterms:modified>
</cp:coreProperties>
</file>